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81184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808768" coordorigin="0,0" coordsize="11906,4349">
            <v:rect style="position:absolute;left:0;top:0;width:11906;height:681" filled="true" fillcolor="#0e082b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93;top:271;width:9834;height:1267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0" w:firstLine="0"/>
                      <w:jc w:val="left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color w:val="FFFFFF"/>
                        <w:w w:val="105"/>
                        <w:sz w:val="20"/>
                      </w:rPr>
                      <w:t>SÉPARATIONS DE BALCONS</w:t>
                    </w:r>
                  </w:p>
                  <w:p>
                    <w:pPr>
                      <w:spacing w:line="240" w:lineRule="auto" w:before="2"/>
                      <w:rPr>
                        <w:sz w:val="26"/>
                      </w:rPr>
                    </w:pPr>
                  </w:p>
                  <w:p>
                    <w:pPr>
                      <w:spacing w:line="405" w:lineRule="exact" w:before="1"/>
                      <w:ind w:left="576" w:right="92" w:firstLine="0"/>
                      <w:jc w:val="center"/>
                      <w:rPr>
                        <w:rFonts w:ascii="Century Gothic"/>
                        <w:sz w:val="34"/>
                      </w:rPr>
                    </w:pPr>
                    <w:r>
                      <w:rPr>
                        <w:rFonts w:ascii="Century Gothic"/>
                        <w:sz w:val="34"/>
                      </w:rPr>
                      <w:t>DESCRIPTIF POUR CCTP OU POUR CAHIER DES CHARGES</w:t>
                    </w:r>
                  </w:p>
                  <w:p>
                    <w:pPr>
                      <w:spacing w:line="307" w:lineRule="exact" w:before="0"/>
                      <w:ind w:left="576" w:right="92" w:firstLine="0"/>
                      <w:jc w:val="center"/>
                      <w:rPr>
                        <w:rFonts w:ascii="Century Gothic" w:hAnsi="Century Gothic"/>
                        <w:sz w:val="26"/>
                      </w:rPr>
                    </w:pPr>
                    <w:r>
                      <w:rPr>
                        <w:rFonts w:ascii="Century Gothic" w:hAnsi="Century Gothic"/>
                        <w:sz w:val="26"/>
                      </w:rPr>
                      <w:t>SÉPARATIONS DE BALCONS</w:t>
                    </w:r>
                  </w:p>
                </w:txbxContent>
              </v:textbox>
              <w10:wrap type="none"/>
            </v:shape>
            <v:shape style="position:absolute;left:793;top:2221;width:10345;height:1981" type="#_x0000_t202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9FE3"/>
                        <w:sz w:val="24"/>
                      </w:rPr>
                      <w:t>Généralités</w:t>
                    </w:r>
                  </w:p>
                  <w:p>
                    <w:pPr>
                      <w:spacing w:before="5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Les fixations sur le gros œuvre se feront conformément au cahier des charges du fournisseur de chevilles.</w:t>
                    </w:r>
                  </w:p>
                  <w:p>
                    <w:pPr>
                      <w:spacing w:line="249" w:lineRule="auto" w:before="65"/>
                      <w:ind w:left="0" w:right="13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Cas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particulier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:</w:t>
                    </w:r>
                    <w:r>
                      <w:rPr>
                        <w:spacing w:val="-23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pour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les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séparations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en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extrémité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de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balcon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qui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font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office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de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garde-corps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ainsi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que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les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séparations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de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grandes</w:t>
                    </w:r>
                    <w:r>
                      <w:rPr>
                        <w:spacing w:val="-20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longueurs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w w:val="90"/>
                        <w:sz w:val="18"/>
                      </w:rPr>
                      <w:t>(&gt;1.5m)</w:t>
                    </w:r>
                    <w:r>
                      <w:rPr>
                        <w:spacing w:val="-19"/>
                        <w:w w:val="90"/>
                        <w:sz w:val="18"/>
                      </w:rPr>
                      <w:t> </w:t>
                    </w:r>
                    <w:r>
                      <w:rPr>
                        <w:spacing w:val="-5"/>
                        <w:w w:val="90"/>
                        <w:sz w:val="18"/>
                      </w:rPr>
                      <w:t>sur </w:t>
                    </w:r>
                    <w:r>
                      <w:rPr>
                        <w:w w:val="95"/>
                        <w:sz w:val="18"/>
                      </w:rPr>
                      <w:t>terrasse étanchée, nous</w:t>
                    </w:r>
                    <w:r>
                      <w:rPr>
                        <w:spacing w:val="-14"/>
                        <w:w w:val="95"/>
                        <w:sz w:val="18"/>
                      </w:rPr>
                      <w:t> </w:t>
                    </w:r>
                    <w:r>
                      <w:rPr>
                        <w:w w:val="95"/>
                        <w:sz w:val="18"/>
                      </w:rPr>
                      <w:t>consulter.</w:t>
                    </w:r>
                  </w:p>
                  <w:p>
                    <w:pPr>
                      <w:spacing w:line="240" w:lineRule="auto" w:before="3"/>
                      <w:rPr>
                        <w:sz w:val="16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9FE3"/>
                        <w:sz w:val="24"/>
                      </w:rPr>
                      <w:t>Conception et mise en œuvre</w:t>
                    </w:r>
                  </w:p>
                  <w:p>
                    <w:pPr>
                      <w:spacing w:line="249" w:lineRule="auto" w:before="53"/>
                      <w:ind w:left="0" w:right="1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5"/>
                        <w:sz w:val="18"/>
                      </w:rPr>
                      <w:t>Les</w:t>
                    </w:r>
                    <w:r>
                      <w:rPr>
                        <w:spacing w:val="-9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plans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d’implantation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fournis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par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HORIZAL</w:t>
                    </w:r>
                    <w:r>
                      <w:rPr>
                        <w:spacing w:val="-9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devront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scrupuleusement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être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respectés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ainsi</w:t>
                    </w:r>
                    <w:r>
                      <w:rPr>
                        <w:spacing w:val="-9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que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repérage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des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éléments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de</w:t>
                    </w:r>
                    <w:r>
                      <w:rPr>
                        <w:spacing w:val="-9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chaque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balcon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afin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d’être</w:t>
                    </w:r>
                    <w:r>
                      <w:rPr>
                        <w:spacing w:val="-8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en conformité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avec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les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vides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réglementaires,</w:t>
                    </w:r>
                    <w:r>
                      <w:rPr>
                        <w:spacing w:val="-19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avec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l’espacement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autorisé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entre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les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points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de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fixation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et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avec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l’esthétique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générale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demandée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par</w:t>
                    </w:r>
                    <w:r>
                      <w:rPr>
                        <w:spacing w:val="-14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le</w:t>
                    </w:r>
                    <w:r>
                      <w:rPr>
                        <w:spacing w:val="-15"/>
                        <w:w w:val="85"/>
                        <w:sz w:val="18"/>
                      </w:rPr>
                      <w:t> </w:t>
                    </w:r>
                    <w:r>
                      <w:rPr>
                        <w:w w:val="85"/>
                        <w:sz w:val="18"/>
                      </w:rPr>
                      <w:t>prescripteur.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2"/>
        <w:spacing w:before="239"/>
      </w:pPr>
      <w:r>
        <w:rPr/>
        <w:pict>
          <v:shape style="position:absolute;margin-left:571.989685pt;margin-top:-34.298958pt;width:13.85pt;height:487.75pt;mso-position-horizontal-relative:page;mso-position-vertical-relative:paragraph;z-index:251663360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séparation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balcon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HORIZAL.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Profil d’encadrement des remplissages R624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(35x40).</w:t>
      </w:r>
    </w:p>
    <w:p>
      <w:pPr>
        <w:pStyle w:val="Heading3"/>
        <w:numPr>
          <w:ilvl w:val="1"/>
          <w:numId w:val="1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remplissage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Verre trempé type</w:t>
      </w:r>
      <w:r>
        <w:rPr>
          <w:spacing w:val="2"/>
          <w:w w:val="90"/>
          <w:sz w:val="18"/>
        </w:rPr>
        <w:t> </w:t>
      </w:r>
      <w:r>
        <w:rPr>
          <w:w w:val="90"/>
          <w:sz w:val="18"/>
        </w:rPr>
        <w:t>DURLUX.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Verre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feuilleté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teinté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OPALE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autre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selon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choix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Verre feuilleté granité</w:t>
      </w:r>
      <w:r>
        <w:rPr>
          <w:spacing w:val="-6"/>
          <w:w w:val="95"/>
          <w:sz w:val="18"/>
        </w:rPr>
        <w:t> </w:t>
      </w:r>
      <w:r>
        <w:rPr>
          <w:spacing w:val="-3"/>
          <w:w w:val="95"/>
          <w:sz w:val="18"/>
        </w:rPr>
        <w:t>clair.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Tôle aluminium pleine, perforée ou découpée au</w:t>
      </w:r>
      <w:r>
        <w:rPr>
          <w:spacing w:val="-32"/>
          <w:w w:val="95"/>
          <w:sz w:val="18"/>
        </w:rPr>
        <w:t> </w:t>
      </w:r>
      <w:r>
        <w:rPr>
          <w:spacing w:val="-3"/>
          <w:w w:val="95"/>
          <w:sz w:val="18"/>
        </w:rPr>
        <w:t>laser.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Panneau composite type FUDERMAX,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TRESPA…</w:t>
      </w:r>
    </w:p>
    <w:p>
      <w:pPr>
        <w:pStyle w:val="Heading3"/>
        <w:numPr>
          <w:ilvl w:val="1"/>
          <w:numId w:val="1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forme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Rectangulaire.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pan</w:t>
      </w:r>
      <w:r>
        <w:rPr>
          <w:spacing w:val="3"/>
          <w:w w:val="90"/>
          <w:sz w:val="18"/>
        </w:rPr>
        <w:t> </w:t>
      </w:r>
      <w:r>
        <w:rPr>
          <w:w w:val="90"/>
          <w:sz w:val="18"/>
        </w:rPr>
        <w:t>coupé.</w:t>
      </w:r>
    </w:p>
    <w:p>
      <w:pPr>
        <w:pStyle w:val="Heading3"/>
        <w:numPr>
          <w:ilvl w:val="1"/>
          <w:numId w:val="1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d’encadrement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closoir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permettant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cacher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fixations.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spécifique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d’un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HORIZAL.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Pour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séparations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grandes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dimensions,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plusieurs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fixations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intermédiaires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pilier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80x50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nécessaires.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338" w:lineRule="exact" w:before="214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2336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3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1"/>
      <w:numFmt w:val="decimal"/>
      <w:lvlText w:val="%2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691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883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075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266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58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50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42" w:hanging="209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1"/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2019-10-10T13:58:20Z</dcterms:created>
  <dcterms:modified xsi:type="dcterms:W3CDTF">2019-10-10T13:58:20Z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