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92384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91360" coordorigin="0,0" coordsize="11906,4349">
            <v:rect style="position:absolute;left:0;top:0;width:11906;height:681" filled="true" fillcolor="#0e082b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99"/>
        <w:ind w:left="113" w:right="0" w:firstLine="0"/>
        <w:jc w:val="left"/>
        <w:rPr>
          <w:rFonts w:ascii="Century Gothic"/>
          <w:b/>
          <w:sz w:val="20"/>
        </w:rPr>
      </w:pPr>
      <w:r>
        <w:rPr>
          <w:rFonts w:ascii="Century Gothic"/>
          <w:b/>
          <w:color w:val="FFFFFF"/>
          <w:w w:val="105"/>
          <w:sz w:val="20"/>
        </w:rPr>
        <w:t>HABILLAGE DE NEZ DE DALLE ET COUVERTINE</w:t>
      </w:r>
    </w:p>
    <w:p>
      <w:pPr>
        <w:pStyle w:val="BodyText"/>
        <w:spacing w:before="7"/>
        <w:rPr>
          <w:rFonts w:ascii="Century Gothic"/>
          <w:b/>
          <w:sz w:val="24"/>
        </w:rPr>
      </w:pPr>
    </w:p>
    <w:p>
      <w:pPr>
        <w:spacing w:line="405" w:lineRule="exact" w:before="1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/>
        </w:rPr>
      </w:pPr>
      <w:r>
        <w:rPr>
          <w:rFonts w:ascii="Century Gothic"/>
        </w:rPr>
        <w:t>HABILLAGE DE NEZ DE DALLE ET COUVERTINE</w:t>
      </w:r>
    </w:p>
    <w:p>
      <w:pPr>
        <w:pStyle w:val="Heading2"/>
        <w:spacing w:before="192"/>
      </w:pP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53" w:after="0"/>
        <w:ind w:left="227" w:right="791" w:hanging="114"/>
        <w:jc w:val="left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95"/>
          <w:sz w:val="18"/>
        </w:rPr>
        <w:t>en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conformité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points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l’esthétique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générale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demandée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>
          <w:color w:val="009FE3"/>
        </w:rPr>
        <w:t>HABILLAGE DE NEZ DE DALLE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 et pose d’habillage de </w:t>
      </w:r>
      <w:r>
        <w:rPr>
          <w:b/>
          <w:w w:val="95"/>
          <w:sz w:val="18"/>
        </w:rPr>
        <w:t>nez de dalle</w:t>
      </w:r>
      <w:r>
        <w:rPr>
          <w:b/>
          <w:spacing w:val="-32"/>
          <w:w w:val="95"/>
          <w:sz w:val="18"/>
        </w:rPr>
        <w:t> </w:t>
      </w:r>
      <w:r>
        <w:rPr>
          <w:w w:val="95"/>
          <w:sz w:val="18"/>
        </w:rPr>
        <w:t>HORIZAL.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3.452592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habillages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réalisés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tôle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d’aluminium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1.5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2mm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d’épaisseur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(selon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configurations</w:t>
      </w:r>
      <w:r>
        <w:rPr>
          <w:spacing w:val="-17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chantier).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Fixation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intégrée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aux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barreaux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supports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des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garde-corps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HORIZAL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(indépendante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la</w:t>
      </w:r>
      <w:r>
        <w:rPr>
          <w:spacing w:val="-4"/>
          <w:w w:val="90"/>
          <w:sz w:val="18"/>
        </w:rPr>
        <w:t> </w:t>
      </w:r>
      <w:r>
        <w:rPr>
          <w:w w:val="90"/>
          <w:sz w:val="18"/>
        </w:rPr>
        <w:t>maçonnerie).</w:t>
      </w:r>
    </w:p>
    <w:p>
      <w:pPr>
        <w:pStyle w:val="BodyText"/>
        <w:rPr>
          <w:sz w:val="17"/>
        </w:rPr>
      </w:pPr>
    </w:p>
    <w:p>
      <w:pPr>
        <w:pStyle w:val="Heading2"/>
      </w:pPr>
      <w:r>
        <w:rPr>
          <w:color w:val="009FE3"/>
        </w:rPr>
        <w:t>COUVERTINE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Fourniture et pose de </w:t>
      </w:r>
      <w:r>
        <w:rPr>
          <w:b/>
          <w:w w:val="90"/>
          <w:sz w:val="18"/>
        </w:rPr>
        <w:t>couvertine</w:t>
      </w:r>
      <w:r>
        <w:rPr>
          <w:b/>
          <w:spacing w:val="1"/>
          <w:w w:val="90"/>
          <w:sz w:val="18"/>
        </w:rPr>
        <w:t> </w:t>
      </w:r>
      <w:r>
        <w:rPr>
          <w:w w:val="90"/>
          <w:sz w:val="18"/>
        </w:rPr>
        <w:t>HORIZAL.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couvertines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réalisés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tôle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d’aluminium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1.5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2mm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d’épaisseur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(selon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configurations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chantier).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85"/>
          <w:sz w:val="18"/>
        </w:rPr>
        <w:t>Fixation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sur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muret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support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SC01.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</w:t>
      </w:r>
      <w:r>
        <w:rPr>
          <w:color w:val="009FE3"/>
          <w:spacing w:val="10"/>
        </w:rPr>
        <w:t> </w:t>
      </w:r>
      <w:r>
        <w:rPr>
          <w:color w:val="009FE3"/>
        </w:rPr>
        <w:t>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2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320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421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521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622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72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23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23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24" w:hanging="114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53"/>
      <w:ind w:left="22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2019-10-10T13:57:46Z</dcterms:created>
  <dcterms:modified xsi:type="dcterms:W3CDTF">2019-10-10T13:57:46Z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