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ind w:left="0" w:firstLine="0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8288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7264" coordorigin="0,0" coordsize="11906,4349">
            <v:rect style="position:absolute;left:0;top:0;width:11906;height:681" filled="true" fillcolor="#5d92aa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FFFFFF"/>
          <w:w w:val="120"/>
          <w:sz w:val="20"/>
        </w:rPr>
        <w:t>GARDE-CORPS AVEC REMPLISSAGE À EFFET FILANT</w:t>
      </w:r>
    </w:p>
    <w:p>
      <w:pPr>
        <w:pStyle w:val="BodyText"/>
        <w:spacing w:before="11"/>
        <w:ind w:left="0" w:firstLine="0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spacing w:line="307" w:lineRule="exact" w:before="0"/>
        <w:ind w:left="694" w:right="1371" w:firstLine="0"/>
        <w:jc w:val="center"/>
        <w:rPr>
          <w:rFonts w:ascii="Century Gothic" w:hAnsi="Century Gothic"/>
          <w:b/>
          <w:sz w:val="26"/>
        </w:rPr>
      </w:pPr>
      <w:r>
        <w:rPr>
          <w:rFonts w:ascii="Century Gothic" w:hAnsi="Century Gothic"/>
          <w:sz w:val="26"/>
        </w:rPr>
        <w:t>GARDE-CORPS </w:t>
      </w:r>
      <w:r>
        <w:rPr>
          <w:rFonts w:ascii="Century Gothic" w:hAnsi="Century Gothic"/>
          <w:b/>
          <w:sz w:val="26"/>
        </w:rPr>
        <w:t>FERIA </w:t>
      </w:r>
      <w:r>
        <w:rPr>
          <w:rFonts w:ascii="Century Gothic" w:hAnsi="Century Gothic"/>
          <w:sz w:val="26"/>
        </w:rPr>
        <w:t>AVEC REMPLISSAGE À EFFET </w:t>
      </w:r>
      <w:r>
        <w:rPr>
          <w:rFonts w:ascii="Century Gothic" w:hAnsi="Century Gothic"/>
          <w:b/>
          <w:sz w:val="26"/>
        </w:rPr>
        <w:t>FILANT</w:t>
      </w:r>
    </w:p>
    <w:p>
      <w:pPr>
        <w:pStyle w:val="BodyText"/>
        <w:spacing w:before="0"/>
        <w:ind w:left="0" w:firstLine="0"/>
        <w:rPr>
          <w:rFonts w:ascii="Century Gothic"/>
          <w:b/>
          <w:sz w:val="20"/>
        </w:rPr>
      </w:pPr>
    </w:p>
    <w:p>
      <w:pPr>
        <w:pStyle w:val="BodyText"/>
        <w:spacing w:before="5"/>
        <w:ind w:left="0" w:firstLine="0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 w:firstLine="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ind w:left="0" w:firstLine="0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DTU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39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P5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conditions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spécifiques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vitrés.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ind w:left="0" w:firstLine="0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0"/>
          <w:w w:val="95"/>
          <w:sz w:val="18"/>
        </w:rPr>
        <w:t> </w:t>
      </w:r>
      <w:r>
        <w:rPr>
          <w:b/>
          <w:w w:val="95"/>
          <w:sz w:val="18"/>
        </w:rPr>
        <w:t>FERIA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avec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remplissage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à</w:t>
      </w:r>
      <w:r>
        <w:rPr>
          <w:b/>
          <w:spacing w:val="-11"/>
          <w:w w:val="95"/>
          <w:sz w:val="18"/>
        </w:rPr>
        <w:t> </w:t>
      </w:r>
      <w:r>
        <w:rPr>
          <w:b/>
          <w:w w:val="95"/>
          <w:sz w:val="18"/>
        </w:rPr>
        <w:t>effet</w:t>
      </w:r>
      <w:r>
        <w:rPr>
          <w:b/>
          <w:spacing w:val="-10"/>
          <w:w w:val="95"/>
          <w:sz w:val="18"/>
        </w:rPr>
        <w:t> </w:t>
      </w:r>
      <w:r>
        <w:rPr>
          <w:b/>
          <w:w w:val="95"/>
          <w:sz w:val="18"/>
        </w:rPr>
        <w:t>filant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Butant sous main courante R746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(94x26).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Vide sous main courante R850 (60x30), R445 (85x32) ou ronde R460</w:t>
      </w:r>
      <w:r>
        <w:rPr>
          <w:spacing w:val="-21"/>
          <w:w w:val="90"/>
          <w:sz w:val="18"/>
        </w:rPr>
        <w:t> </w:t>
      </w:r>
      <w:r>
        <w:rPr>
          <w:w w:val="90"/>
          <w:sz w:val="18"/>
        </w:rPr>
        <w:t>(ø52).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Avec ou sans lisse(s) intermédiaire(s) R655 (38x28).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remplissage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9" w:lineRule="auto" w:before="66" w:after="0"/>
        <w:ind w:left="397" w:right="790" w:hanging="114"/>
        <w:jc w:val="left"/>
        <w:rPr>
          <w:sz w:val="18"/>
        </w:rPr>
      </w:pPr>
      <w:r>
        <w:rPr>
          <w:w w:val="85"/>
          <w:sz w:val="18"/>
        </w:rPr>
        <w:t>Verre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feuilleté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incolore,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teinté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sérigraphié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/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tôle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aluminium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pleine,</w:t>
      </w:r>
      <w:r>
        <w:rPr>
          <w:spacing w:val="-9"/>
          <w:w w:val="85"/>
          <w:sz w:val="18"/>
        </w:rPr>
        <w:t> </w:t>
      </w:r>
      <w:r>
        <w:rPr>
          <w:w w:val="85"/>
          <w:sz w:val="18"/>
        </w:rPr>
        <w:t>perforée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ou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découpée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au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laser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/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panneau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composite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/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panneau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métal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déployé </w:t>
      </w:r>
      <w:r>
        <w:rPr>
          <w:w w:val="95"/>
          <w:sz w:val="18"/>
        </w:rPr>
        <w:t>ou autre type (sur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demande).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58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Profils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d’encadrement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remplissages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R656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+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R657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version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vide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R656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+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R747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version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butant.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sans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encadrement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remplissage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tôle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perforée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découpée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laser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rivetée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applique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lisses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R852.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Sur dalle, par barreaux supports R851 (55x15) accolés avec platine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HO252.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En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nez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dalle,</w:t>
      </w:r>
      <w:r>
        <w:rPr>
          <w:spacing w:val="-23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barreaux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supports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R851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(55x15)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accolés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avec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platine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HO738.</w:t>
      </w:r>
      <w:r>
        <w:rPr>
          <w:spacing w:val="-22"/>
          <w:w w:val="90"/>
          <w:sz w:val="18"/>
        </w:rPr>
        <w:t> </w:t>
      </w:r>
      <w:r>
        <w:rPr>
          <w:w w:val="90"/>
          <w:sz w:val="18"/>
        </w:rPr>
        <w:t>Option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calage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avec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profil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R617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(pour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échapper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une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9" w:lineRule="auto" w:before="66" w:after="0"/>
        <w:ind w:left="397" w:right="792" w:hanging="114"/>
        <w:jc w:val="left"/>
        <w:rPr>
          <w:sz w:val="18"/>
        </w:rPr>
      </w:pPr>
      <w:r>
        <w:rPr>
          <w:w w:val="90"/>
          <w:sz w:val="18"/>
        </w:rPr>
        <w:t>En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passant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devant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dalle,</w:t>
      </w:r>
      <w:r>
        <w:rPr>
          <w:spacing w:val="-20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barreaux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supports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R251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(55x15)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accolés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avec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sabot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HO223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intégrant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un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réglage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par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cale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torique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de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la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verticalité</w:t>
      </w:r>
      <w:r>
        <w:rPr>
          <w:spacing w:val="-17"/>
          <w:w w:val="90"/>
          <w:sz w:val="18"/>
        </w:rPr>
        <w:t> </w:t>
      </w:r>
      <w:r>
        <w:rPr>
          <w:w w:val="90"/>
          <w:sz w:val="18"/>
        </w:rPr>
        <w:t>du </w:t>
      </w:r>
      <w:r>
        <w:rPr>
          <w:w w:val="95"/>
          <w:sz w:val="18"/>
        </w:rPr>
        <w:t>garde-corps.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58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Aucune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liaison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apparente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afin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préserver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l’aspect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épuré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type</w:t>
      </w:r>
      <w:r>
        <w:rPr>
          <w:spacing w:val="-5"/>
          <w:w w:val="95"/>
          <w:sz w:val="18"/>
        </w:rPr>
        <w:t> </w:t>
      </w:r>
      <w:r>
        <w:rPr>
          <w:spacing w:val="-3"/>
          <w:w w:val="95"/>
          <w:sz w:val="18"/>
        </w:rPr>
        <w:t>acier.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Assemblage des profils réalisé par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vissage.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Profils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embouts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finition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aluminium.</w:t>
      </w:r>
      <w:r>
        <w:rPr>
          <w:spacing w:val="-18"/>
          <w:w w:val="95"/>
          <w:sz w:val="18"/>
        </w:rPr>
        <w:t> </w:t>
      </w:r>
      <w:r>
        <w:rPr>
          <w:spacing w:val="-3"/>
          <w:w w:val="95"/>
          <w:sz w:val="18"/>
        </w:rPr>
        <w:t>Toute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visserie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acier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spacing w:val="-4"/>
          <w:w w:val="95"/>
          <w:sz w:val="18"/>
        </w:rPr>
        <w:t>Tous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seront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livrés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assemblés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usine,</w:t>
      </w:r>
      <w:r>
        <w:rPr>
          <w:spacing w:val="-22"/>
          <w:w w:val="95"/>
          <w:sz w:val="18"/>
        </w:rPr>
        <w:t> </w:t>
      </w:r>
      <w:r>
        <w:rPr>
          <w:w w:val="95"/>
          <w:sz w:val="18"/>
        </w:rPr>
        <w:t>seule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main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sera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posée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site.</w:t>
      </w:r>
    </w:p>
    <w:p>
      <w:pPr>
        <w:pStyle w:val="BodyText"/>
        <w:spacing w:before="10"/>
        <w:ind w:left="0" w:firstLine="0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0"/>
        <w:ind w:left="0" w:firstLine="0"/>
        <w:rPr>
          <w:sz w:val="20"/>
        </w:rPr>
      </w:pPr>
    </w:p>
    <w:p>
      <w:pPr>
        <w:pStyle w:val="BodyText"/>
        <w:spacing w:before="10"/>
        <w:ind w:left="0" w:firstLine="0"/>
        <w:rPr>
          <w:sz w:val="26"/>
        </w:rPr>
      </w:pPr>
    </w:p>
    <w:p>
      <w:pPr>
        <w:pStyle w:val="Heading1"/>
        <w:spacing w:line="338" w:lineRule="exact" w:before="6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2019-10-10T13:49:15Z</dcterms:created>
  <dcterms:modified xsi:type="dcterms:W3CDTF">2019-10-10T13:49:15Z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